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685"/>
      </w:tblGrid>
      <w:tr w:rsidR="007419BB" w14:paraId="18E096DC" w14:textId="77777777" w:rsidTr="001111AC">
        <w:trPr>
          <w:trHeight w:val="2223"/>
        </w:trPr>
        <w:tc>
          <w:tcPr>
            <w:tcW w:w="6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B73B" w14:textId="77777777" w:rsidR="00002B35" w:rsidRPr="00002B35" w:rsidRDefault="00002B35" w:rsidP="001802FA">
            <w:pPr>
              <w:pStyle w:val="berschrift1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16"/>
                <w:szCs w:val="16"/>
              </w:rPr>
            </w:pPr>
            <w:bookmarkStart w:id="0" w:name="_Toc464488913"/>
          </w:p>
          <w:p w14:paraId="48225509" w14:textId="77777777" w:rsidR="00682A2E" w:rsidRDefault="001111AC" w:rsidP="00682A2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>Pouvez-vous</w:t>
            </w:r>
            <w:proofErr w:type="spellEnd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>soutenir</w:t>
            </w:r>
            <w:proofErr w:type="spellEnd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 xml:space="preserve"> le </w:t>
            </w:r>
            <w:proofErr w:type="spellStart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>rétablissement</w:t>
            </w:r>
            <w:proofErr w:type="spellEnd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>l'Anguille</w:t>
            </w:r>
            <w:proofErr w:type="spellEnd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>d'Europe</w:t>
            </w:r>
            <w:proofErr w:type="spellEnd"/>
            <w:r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  <w:t xml:space="preserve">? </w:t>
            </w:r>
          </w:p>
          <w:p w14:paraId="682504D2" w14:textId="77777777" w:rsidR="00682A2E" w:rsidRPr="0047184E" w:rsidRDefault="001111AC" w:rsidP="00682A2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Comment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contribuer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 à 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révision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 du Standard de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Développement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 Durable de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l'Anguille</w:t>
            </w:r>
            <w:proofErr w:type="spellEnd"/>
          </w:p>
          <w:bookmarkEnd w:id="0"/>
          <w:p w14:paraId="6F36E239" w14:textId="77777777" w:rsidR="00C95D9E" w:rsidRPr="007C6078" w:rsidRDefault="001111AC" w:rsidP="009B5F3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Février</w:t>
            </w:r>
            <w:proofErr w:type="spellEnd"/>
            <w:r w:rsidR="00682A2E" w:rsidRPr="007C6078">
              <w:rPr>
                <w:rFonts w:asciiTheme="minorHAnsi" w:hAnsiTheme="minorHAnsi"/>
              </w:rPr>
              <w:t xml:space="preserve"> 2017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A12A" w14:textId="77777777" w:rsidR="007419BB" w:rsidRDefault="007419BB" w:rsidP="007419BB">
            <w:pPr>
              <w:pStyle w:val="berschrift1"/>
              <w:numPr>
                <w:ilvl w:val="0"/>
                <w:numId w:val="0"/>
              </w:numPr>
              <w:spacing w:before="0"/>
              <w:ind w:left="357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3F62853" wp14:editId="5575DBBB">
                  <wp:extent cx="1825684" cy="671264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439" cy="68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83E26" w14:textId="77777777" w:rsidR="00C95D9E" w:rsidRDefault="00C95D9E" w:rsidP="00C95D9E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Cs w:val="20"/>
        </w:rPr>
      </w:pPr>
    </w:p>
    <w:p w14:paraId="06453BE8" w14:textId="77777777" w:rsidR="009B5F33" w:rsidRDefault="009B5F33" w:rsidP="00C95D9E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365F91"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6069"/>
      </w:tblGrid>
      <w:tr w:rsidR="009B5F33" w14:paraId="7C091F58" w14:textId="77777777" w:rsidTr="009B5F33">
        <w:tc>
          <w:tcPr>
            <w:tcW w:w="5027" w:type="dxa"/>
          </w:tcPr>
          <w:p w14:paraId="2917EFC0" w14:textId="77777777" w:rsidR="009B5F33" w:rsidRDefault="009B5F33" w:rsidP="009B5F3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</w:p>
          <w:p w14:paraId="165562A2" w14:textId="77777777" w:rsidR="009B5F33" w:rsidRDefault="009B5F33" w:rsidP="009B5F33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</w:p>
          <w:p w14:paraId="64B59812" w14:textId="77777777" w:rsidR="006007D8" w:rsidRDefault="006007D8" w:rsidP="009B5F3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  <w:p w14:paraId="2597E5B9" w14:textId="77777777" w:rsidR="006007D8" w:rsidRDefault="006007D8" w:rsidP="009B5F3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  <w:p w14:paraId="4F54B55C" w14:textId="77777777" w:rsidR="006007D8" w:rsidRDefault="006007D8" w:rsidP="009B5F3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  <w:p w14:paraId="7FBE6B60" w14:textId="77777777" w:rsidR="006007D8" w:rsidRDefault="006007D8" w:rsidP="009B5F3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  <w:p w14:paraId="472A43BA" w14:textId="77777777" w:rsidR="006007D8" w:rsidRDefault="006007D8" w:rsidP="009B5F3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  <w:p w14:paraId="3B75082B" w14:textId="77777777" w:rsidR="009B5F33" w:rsidRPr="009B5F33" w:rsidRDefault="001111AC" w:rsidP="008079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Les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Cs w:val="20"/>
              </w:rPr>
              <w:t>anguilles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qui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Cs w:val="20"/>
              </w:rPr>
              <w:t>migrent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Cs w:val="20"/>
              </w:rPr>
              <w:t>vers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la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Cs w:val="20"/>
              </w:rPr>
              <w:t>mer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pour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Cs w:val="20"/>
              </w:rPr>
              <w:t>pondre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Cs w:val="20"/>
              </w:rPr>
              <w:t>sont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Cs w:val="20"/>
              </w:rPr>
              <w:t>souvent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Cs w:val="20"/>
              </w:rPr>
              <w:t>tuées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par des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szCs w:val="20"/>
              </w:rPr>
              <w:t>pompes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et des turbines.</w:t>
            </w:r>
          </w:p>
          <w:p w14:paraId="13C72C0C" w14:textId="77777777" w:rsidR="009B5F33" w:rsidRDefault="009B5F33" w:rsidP="00C95D9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</w:pPr>
          </w:p>
        </w:tc>
        <w:tc>
          <w:tcPr>
            <w:tcW w:w="5027" w:type="dxa"/>
          </w:tcPr>
          <w:p w14:paraId="5AF17457" w14:textId="77777777" w:rsidR="009B5F33" w:rsidRDefault="009B5F33" w:rsidP="00C95D9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color w:val="365F91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2CF89B" wp14:editId="0E4A15BF">
                  <wp:extent cx="3716908" cy="2351646"/>
                  <wp:effectExtent l="0" t="0" r="0" b="0"/>
                  <wp:docPr id="1" name="Picture 1" descr="cid:image001.jpg@01D28B6D.68D52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8B6D.68D52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327" cy="236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468D6" w14:textId="77777777" w:rsidR="001802FA" w:rsidRPr="00C95D9E" w:rsidRDefault="001111AC" w:rsidP="00C95D9E">
      <w:p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 w:themeColor="text1"/>
          <w:szCs w:val="20"/>
        </w:rPr>
      </w:pPr>
      <w:r>
        <w:rPr>
          <w:rFonts w:asciiTheme="minorHAnsi" w:hAnsiTheme="minorHAnsi" w:cs="Arial"/>
          <w:color w:val="000000" w:themeColor="text1"/>
          <w:szCs w:val="20"/>
        </w:rPr>
        <w:t>Le</w:t>
      </w:r>
      <w:r w:rsidR="00C95D9E" w:rsidRPr="00C95D9E">
        <w:rPr>
          <w:rFonts w:asciiTheme="minorHAnsi" w:hAnsiTheme="minorHAnsi" w:cs="Arial"/>
          <w:color w:val="000000" w:themeColor="text1"/>
          <w:szCs w:val="20"/>
        </w:rPr>
        <w:t xml:space="preserve"> Sustainable Eel Group (SEG)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révise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le</w:t>
      </w:r>
      <w:r w:rsidR="00C95D9E">
        <w:rPr>
          <w:rFonts w:asciiTheme="minorHAnsi" w:hAnsiTheme="minorHAnsi" w:cs="Arial"/>
          <w:color w:val="000000" w:themeColor="text1"/>
          <w:szCs w:val="20"/>
        </w:rPr>
        <w:t xml:space="preserve"> </w:t>
      </w:r>
      <w:hyperlink r:id="rId11" w:history="1">
        <w:r w:rsidR="00C95D9E" w:rsidRPr="00C95D9E">
          <w:rPr>
            <w:rStyle w:val="Hyperlink"/>
            <w:rFonts w:asciiTheme="minorHAnsi" w:hAnsiTheme="minorHAnsi" w:cs="Arial"/>
            <w:szCs w:val="20"/>
          </w:rPr>
          <w:t>Standard</w:t>
        </w:r>
      </w:hyperlink>
      <w:r>
        <w:rPr>
          <w:rStyle w:val="Hyperlink"/>
          <w:rFonts w:asciiTheme="minorHAnsi" w:hAnsiTheme="minorHAnsi" w:cs="Arial"/>
          <w:szCs w:val="20"/>
        </w:rPr>
        <w:t xml:space="preserve"> SEG</w:t>
      </w:r>
      <w:r w:rsidR="00C95D9E">
        <w:rPr>
          <w:rFonts w:asciiTheme="minorHAnsi" w:hAnsiTheme="minorHAnsi" w:cs="Arial"/>
          <w:color w:val="000000" w:themeColor="text1"/>
          <w:szCs w:val="20"/>
        </w:rPr>
        <w:t xml:space="preserve"> </w:t>
      </w:r>
      <w:r>
        <w:rPr>
          <w:rFonts w:asciiTheme="minorHAnsi" w:hAnsiTheme="minorHAnsi" w:cs="Arial"/>
          <w:color w:val="000000" w:themeColor="text1"/>
          <w:szCs w:val="20"/>
        </w:rPr>
        <w:t xml:space="preserve">qui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décrit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les standards de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développement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durable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auxquels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ceux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qui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marchandent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l'Anguille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d'Europe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doivent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obtempérer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s'ils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veulent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déclarer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le faire de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façon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Cs w:val="20"/>
        </w:rPr>
        <w:t>responsable</w:t>
      </w:r>
      <w:proofErr w:type="spellEnd"/>
      <w:r>
        <w:rPr>
          <w:rFonts w:asciiTheme="minorHAnsi" w:hAnsiTheme="minorHAnsi" w:cs="Arial"/>
          <w:color w:val="000000" w:themeColor="text1"/>
          <w:szCs w:val="20"/>
        </w:rPr>
        <w:t xml:space="preserve">. </w:t>
      </w:r>
    </w:p>
    <w:p w14:paraId="15368295" w14:textId="77777777" w:rsidR="0043391E" w:rsidRDefault="001111AC" w:rsidP="008C7018">
      <w:pPr>
        <w:pStyle w:val="Standard1"/>
        <w:spacing w:after="0"/>
        <w:rPr>
          <w:rStyle w:val="Absatz-Standardschriftart1"/>
          <w:rFonts w:ascii="Calibri" w:hAnsi="Calibri"/>
          <w:color w:val="000000"/>
          <w:sz w:val="24"/>
          <w:szCs w:val="24"/>
        </w:rPr>
      </w:pPr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Le Standard a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été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mis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a jour pour la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dernière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fois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en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2013,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il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est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donc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temps de le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réviser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. Le but du Standard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est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d'accompagner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le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rétablissement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de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l'Anguille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d'Europe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, qui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est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classées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comme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Espèce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en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Danger Critique </w:t>
      </w:r>
      <w:proofErr w:type="spellStart"/>
      <w:r>
        <w:rPr>
          <w:rStyle w:val="Absatz-Standardschriftart1"/>
          <w:rFonts w:ascii="Calibri" w:hAnsi="Calibri"/>
          <w:color w:val="000000"/>
          <w:sz w:val="24"/>
          <w:szCs w:val="24"/>
        </w:rPr>
        <w:t>d'Extinction</w:t>
      </w:r>
      <w:proofErr w:type="spellEnd"/>
      <w:r>
        <w:rPr>
          <w:rStyle w:val="Absatz-Standardschriftart1"/>
          <w:rFonts w:ascii="Calibri" w:hAnsi="Calibri"/>
          <w:color w:val="000000"/>
          <w:sz w:val="24"/>
          <w:szCs w:val="24"/>
        </w:rPr>
        <w:t xml:space="preserve"> par le UICN. </w:t>
      </w:r>
    </w:p>
    <w:p w14:paraId="673C4161" w14:textId="77777777" w:rsidR="0043391E" w:rsidRDefault="0043391E" w:rsidP="008C7018">
      <w:pPr>
        <w:pStyle w:val="Standard1"/>
        <w:spacing w:after="0"/>
        <w:rPr>
          <w:rStyle w:val="Absatz-Standardschriftart1"/>
          <w:rFonts w:ascii="Calibri" w:hAnsi="Calibri"/>
          <w:color w:val="000000"/>
          <w:sz w:val="24"/>
          <w:szCs w:val="24"/>
        </w:rPr>
      </w:pPr>
    </w:p>
    <w:p w14:paraId="0DA5095F" w14:textId="77777777" w:rsidR="001111AC" w:rsidRPr="0002434A" w:rsidRDefault="001111AC" w:rsidP="008C7018">
      <w:pPr>
        <w:pStyle w:val="Standard1"/>
        <w:spacing w:after="0"/>
        <w:rPr>
          <w:rStyle w:val="Absatz-Standardschriftart1"/>
          <w:rFonts w:ascii="Calibri" w:hAnsi="Calibri"/>
          <w:b/>
          <w:color w:val="000000"/>
          <w:sz w:val="24"/>
          <w:szCs w:val="24"/>
        </w:rPr>
      </w:pPr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 xml:space="preserve">Les </w:t>
      </w:r>
      <w:proofErr w:type="spellStart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>objectifs</w:t>
      </w:r>
      <w:proofErr w:type="spellEnd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>complets</w:t>
      </w:r>
      <w:proofErr w:type="spellEnd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 xml:space="preserve"> du Standards </w:t>
      </w:r>
      <w:proofErr w:type="spellStart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>sont</w:t>
      </w:r>
      <w:proofErr w:type="spellEnd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>décrits</w:t>
      </w:r>
      <w:proofErr w:type="spellEnd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>comme</w:t>
      </w:r>
      <w:proofErr w:type="spellEnd"/>
      <w:r>
        <w:rPr>
          <w:rStyle w:val="Absatz-Standardschriftart1"/>
          <w:rFonts w:ascii="Calibri" w:hAnsi="Calibri"/>
          <w:b/>
          <w:color w:val="000000"/>
          <w:sz w:val="24"/>
          <w:szCs w:val="24"/>
        </w:rPr>
        <w:t xml:space="preserve"> suit: </w:t>
      </w:r>
    </w:p>
    <w:p w14:paraId="0F6540E8" w14:textId="77777777" w:rsidR="001111AC" w:rsidRPr="001111AC" w:rsidRDefault="001111AC" w:rsidP="001111AC">
      <w:pPr>
        <w:autoSpaceDE w:val="0"/>
        <w:autoSpaceDN w:val="0"/>
        <w:adjustRightInd w:val="0"/>
        <w:spacing w:after="120"/>
        <w:ind w:left="851"/>
        <w:rPr>
          <w:rFonts w:asciiTheme="minorHAnsi" w:hAnsiTheme="minorHAnsi" w:cs="Arial"/>
          <w:bCs/>
          <w:color w:val="000000"/>
          <w:szCs w:val="20"/>
        </w:rPr>
      </w:pPr>
      <w:proofErr w:type="spellStart"/>
      <w:r w:rsidRPr="001111AC">
        <w:rPr>
          <w:rFonts w:asciiTheme="minorHAnsi" w:hAnsiTheme="minorHAnsi" w:cs="Arial"/>
          <w:color w:val="000000"/>
          <w:szCs w:val="20"/>
        </w:rPr>
        <w:t>maximiser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la contribution des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pêcheurs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d'anguille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, des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propriétaires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de cultures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aquatiques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,  des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éleveurs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d'organismes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aquatiques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, des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marchands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et des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consommateurs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d'anguilles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et de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ses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produits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dérivés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dans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le </w:t>
      </w:r>
      <w:proofErr w:type="spellStart"/>
      <w:r>
        <w:rPr>
          <w:rFonts w:asciiTheme="minorHAnsi" w:hAnsiTheme="minorHAnsi" w:cs="Arial"/>
          <w:color w:val="000000"/>
          <w:szCs w:val="20"/>
        </w:rPr>
        <w:t>rétablissement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de</w:t>
      </w:r>
      <w:r>
        <w:rPr>
          <w:rFonts w:asciiTheme="minorHAnsi" w:hAnsiTheme="minorHAnsi" w:cs="Arial"/>
          <w:color w:val="000000"/>
          <w:szCs w:val="20"/>
        </w:rPr>
        <w:t>s</w:t>
      </w:r>
      <w:r w:rsidRPr="001111AC">
        <w:rPr>
          <w:rFonts w:asciiTheme="minorHAnsi" w:hAnsiTheme="minorHAnsi" w:cs="Arial"/>
          <w:color w:val="000000"/>
          <w:szCs w:val="20"/>
        </w:rPr>
        <w:t xml:space="preserve"> populations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d'anguille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saines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distribuées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dans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la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totalité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leurs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habitats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naturels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,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ainsi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réalisant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leur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role pour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l'environnement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aquatique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et son usage durable pour le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bénéfice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des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communautés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, des </w:t>
      </w:r>
      <w:proofErr w:type="spellStart"/>
      <w:r w:rsidRPr="001111AC">
        <w:rPr>
          <w:rFonts w:asciiTheme="minorHAnsi" w:hAnsiTheme="minorHAnsi" w:cs="Arial"/>
          <w:color w:val="000000"/>
          <w:szCs w:val="20"/>
        </w:rPr>
        <w:t>économies</w:t>
      </w:r>
      <w:proofErr w:type="spellEnd"/>
      <w:r w:rsidRPr="001111AC">
        <w:rPr>
          <w:rFonts w:asciiTheme="minorHAnsi" w:hAnsiTheme="minorHAnsi" w:cs="Arial"/>
          <w:color w:val="000000"/>
          <w:szCs w:val="20"/>
        </w:rPr>
        <w:t xml:space="preserve"> locales et des  traditions.</w:t>
      </w:r>
    </w:p>
    <w:p w14:paraId="3A77AB05" w14:textId="77777777" w:rsidR="00AC7FDB" w:rsidRPr="00AC7FDB" w:rsidRDefault="00AC7FDB" w:rsidP="00147595">
      <w:pPr>
        <w:pStyle w:val="Standard1"/>
        <w:spacing w:after="0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 xml:space="preserve">Le Standard sera </w:t>
      </w:r>
      <w:proofErr w:type="spellStart"/>
      <w:r>
        <w:rPr>
          <w:rFonts w:asciiTheme="minorHAnsi" w:hAnsiTheme="minorHAnsi" w:cs="Arial"/>
          <w:color w:val="000000"/>
          <w:szCs w:val="20"/>
        </w:rPr>
        <w:t>créé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pour </w:t>
      </w:r>
      <w:proofErr w:type="spellStart"/>
      <w:r>
        <w:rPr>
          <w:rFonts w:asciiTheme="minorHAnsi" w:hAnsiTheme="minorHAnsi" w:cs="Arial"/>
          <w:color w:val="000000"/>
          <w:szCs w:val="20"/>
        </w:rPr>
        <w:t>s'assurer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que </w:t>
      </w:r>
      <w:proofErr w:type="spellStart"/>
      <w:r>
        <w:rPr>
          <w:rFonts w:asciiTheme="minorHAnsi" w:hAnsiTheme="minorHAnsi" w:cs="Arial"/>
          <w:color w:val="000000"/>
          <w:szCs w:val="20"/>
        </w:rPr>
        <w:t>l'exécution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 Standard de </w:t>
      </w:r>
      <w:proofErr w:type="spellStart"/>
      <w:r>
        <w:rPr>
          <w:rFonts w:asciiTheme="minorHAnsi" w:hAnsiTheme="minorHAnsi" w:cs="Arial"/>
          <w:color w:val="000000"/>
          <w:szCs w:val="20"/>
        </w:rPr>
        <w:t>Développement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Durable de </w:t>
      </w:r>
      <w:proofErr w:type="spellStart"/>
      <w:r>
        <w:rPr>
          <w:rFonts w:asciiTheme="minorHAnsi" w:hAnsiTheme="minorHAnsi" w:cs="Arial"/>
          <w:color w:val="000000"/>
          <w:szCs w:val="20"/>
        </w:rPr>
        <w:t>l'Anguille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SEG au </w:t>
      </w:r>
      <w:proofErr w:type="spellStart"/>
      <w:r>
        <w:rPr>
          <w:rFonts w:asciiTheme="minorHAnsi" w:hAnsiTheme="minorHAnsi" w:cs="Arial"/>
          <w:color w:val="000000"/>
          <w:szCs w:val="20"/>
        </w:rPr>
        <w:t>niveau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chaque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titulaire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Cs w:val="20"/>
        </w:rPr>
        <w:t>individuel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de </w:t>
      </w:r>
      <w:proofErr w:type="spellStart"/>
      <w:r>
        <w:rPr>
          <w:rFonts w:asciiTheme="minorHAnsi" w:hAnsiTheme="minorHAnsi" w:cs="Arial"/>
          <w:color w:val="000000"/>
          <w:szCs w:val="20"/>
        </w:rPr>
        <w:t>certificat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 SEG </w:t>
      </w:r>
      <w:proofErr w:type="spellStart"/>
      <w:r>
        <w:rPr>
          <w:rFonts w:asciiTheme="minorHAnsi" w:hAnsiTheme="minorHAnsi" w:cs="Arial"/>
          <w:color w:val="000000"/>
          <w:szCs w:val="20"/>
        </w:rPr>
        <w:t>ait</w:t>
      </w:r>
      <w:proofErr w:type="spellEnd"/>
      <w:r>
        <w:rPr>
          <w:rFonts w:asciiTheme="minorHAnsi" w:hAnsiTheme="minorHAnsi" w:cs="Arial"/>
          <w:color w:val="000000"/>
          <w:szCs w:val="20"/>
        </w:rPr>
        <w:t xml:space="preserve"> </w:t>
      </w:r>
      <w:r w:rsidRPr="00AC7FDB">
        <w:rPr>
          <w:rFonts w:asciiTheme="minorHAnsi" w:hAnsiTheme="minorHAnsi" w:cs="Arial"/>
          <w:color w:val="000000"/>
          <w:szCs w:val="20"/>
        </w:rPr>
        <w:t xml:space="preserve">un impact </w:t>
      </w:r>
      <w:proofErr w:type="spellStart"/>
      <w:r w:rsidRPr="00AC7FDB">
        <w:rPr>
          <w:rFonts w:asciiTheme="minorHAnsi" w:hAnsiTheme="minorHAnsi" w:cs="Arial"/>
          <w:color w:val="000000"/>
          <w:szCs w:val="20"/>
        </w:rPr>
        <w:t>positif</w:t>
      </w:r>
      <w:proofErr w:type="spellEnd"/>
      <w:r w:rsidRPr="00AC7FDB">
        <w:rPr>
          <w:rFonts w:asciiTheme="minorHAnsi" w:hAnsiTheme="minorHAnsi" w:cs="Arial"/>
          <w:color w:val="000000"/>
          <w:szCs w:val="20"/>
        </w:rPr>
        <w:t xml:space="preserve"> net sur les populations </w:t>
      </w:r>
      <w:proofErr w:type="spellStart"/>
      <w:r w:rsidRPr="00AC7FDB">
        <w:rPr>
          <w:rFonts w:asciiTheme="minorHAnsi" w:hAnsiTheme="minorHAnsi" w:cs="Arial"/>
          <w:color w:val="000000"/>
          <w:szCs w:val="20"/>
        </w:rPr>
        <w:t>d'anguille</w:t>
      </w:r>
      <w:proofErr w:type="spellEnd"/>
      <w:r>
        <w:rPr>
          <w:rFonts w:asciiTheme="minorHAnsi" w:hAnsiTheme="minorHAnsi" w:cs="Arial"/>
          <w:color w:val="000000"/>
          <w:szCs w:val="20"/>
        </w:rPr>
        <w:t>.</w:t>
      </w:r>
    </w:p>
    <w:p w14:paraId="1BE8B523" w14:textId="77777777" w:rsidR="00AC7FDB" w:rsidRDefault="00AC7FDB" w:rsidP="00147595">
      <w:pPr>
        <w:pStyle w:val="Standard1"/>
        <w:spacing w:after="0"/>
        <w:rPr>
          <w:rFonts w:asciiTheme="minorHAnsi" w:hAnsiTheme="minorHAnsi" w:cs="Arial"/>
          <w:b/>
          <w:color w:val="000000"/>
          <w:szCs w:val="20"/>
        </w:rPr>
      </w:pPr>
    </w:p>
    <w:p w14:paraId="4979BCC8" w14:textId="77777777" w:rsidR="00147595" w:rsidRPr="00AC7FDB" w:rsidRDefault="0043391E" w:rsidP="00147595">
      <w:pPr>
        <w:pStyle w:val="Standard1"/>
        <w:spacing w:after="0"/>
        <w:rPr>
          <w:rFonts w:asciiTheme="minorHAnsi" w:hAnsiTheme="minorHAnsi" w:cs="Arial"/>
          <w:b/>
          <w:color w:val="000000"/>
          <w:szCs w:val="20"/>
        </w:rPr>
      </w:pPr>
      <w:r w:rsidRPr="0002434A">
        <w:rPr>
          <w:rFonts w:asciiTheme="minorHAnsi" w:hAnsiTheme="minorHAnsi"/>
        </w:rPr>
        <w:t>S</w:t>
      </w:r>
      <w:r w:rsidR="00147595" w:rsidRPr="0002434A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EG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est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également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en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train de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devenir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un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membre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de </w:t>
      </w:r>
      <w:hyperlink r:id="rId12" w:history="1">
        <w:proofErr w:type="spellStart"/>
        <w:r w:rsidR="00AC7FDB" w:rsidRPr="00AC7FDB">
          <w:rPr>
            <w:rStyle w:val="Hyperlink"/>
            <w:rFonts w:asciiTheme="minorHAnsi" w:hAnsiTheme="minorHAnsi"/>
            <w:sz w:val="24"/>
            <w:szCs w:val="24"/>
          </w:rPr>
          <w:t>l'Alliance</w:t>
        </w:r>
        <w:proofErr w:type="spellEnd"/>
        <w:r w:rsidR="00AC7FDB" w:rsidRPr="00AC7FDB">
          <w:rPr>
            <w:rStyle w:val="Hyperlink"/>
            <w:rFonts w:asciiTheme="minorHAnsi" w:hAnsiTheme="minorHAnsi"/>
            <w:sz w:val="24"/>
            <w:szCs w:val="24"/>
          </w:rPr>
          <w:t xml:space="preserve"> ISEAL</w:t>
        </w:r>
      </w:hyperlink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.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Cette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révision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aidera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également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les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objectifs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de SEG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en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tant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que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membre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>d'ISEAL</w:t>
      </w:r>
      <w:proofErr w:type="spellEnd"/>
      <w:r w:rsidR="00AC7FDB">
        <w:rPr>
          <w:rStyle w:val="Absatz-Standardschriftart1"/>
          <w:rFonts w:asciiTheme="minorHAnsi" w:hAnsiTheme="minorHAnsi"/>
          <w:color w:val="000000"/>
          <w:sz w:val="24"/>
          <w:szCs w:val="24"/>
        </w:rPr>
        <w:t xml:space="preserve">. </w:t>
      </w:r>
    </w:p>
    <w:p w14:paraId="5E4C1FEB" w14:textId="77777777" w:rsidR="00147595" w:rsidRDefault="00147595" w:rsidP="008C7018">
      <w:pPr>
        <w:pStyle w:val="Standard1"/>
        <w:spacing w:after="0"/>
        <w:rPr>
          <w:rFonts w:ascii="Calibri" w:hAnsi="Calibri"/>
          <w:color w:val="000000"/>
          <w:sz w:val="24"/>
          <w:szCs w:val="24"/>
        </w:rPr>
      </w:pPr>
    </w:p>
    <w:p w14:paraId="29715D5A" w14:textId="77777777" w:rsidR="008C7018" w:rsidRDefault="008C7018" w:rsidP="008C7018">
      <w:pPr>
        <w:pStyle w:val="Standard1"/>
        <w:spacing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SEG </w:t>
      </w:r>
      <w:r w:rsidR="00AC7FDB">
        <w:rPr>
          <w:rFonts w:ascii="Calibri" w:hAnsi="Calibri"/>
          <w:color w:val="000000"/>
          <w:sz w:val="24"/>
          <w:szCs w:val="24"/>
        </w:rPr>
        <w:t xml:space="preserve">invite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toutes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les parties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intéressées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engagées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dans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le Standard et les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nombreuses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personnes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et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organisations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qui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travaillent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pour le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rétablissement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de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l'Anguille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d'Europe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à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contribuer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dans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le but de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publier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un nouveau Standard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en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AC7FDB">
        <w:rPr>
          <w:rFonts w:ascii="Calibri" w:hAnsi="Calibri"/>
          <w:color w:val="000000"/>
          <w:sz w:val="24"/>
          <w:szCs w:val="24"/>
        </w:rPr>
        <w:t>novembre</w:t>
      </w:r>
      <w:proofErr w:type="spellEnd"/>
      <w:r w:rsidR="00AC7FDB">
        <w:rPr>
          <w:rFonts w:ascii="Calibri" w:hAnsi="Calibri"/>
          <w:color w:val="000000"/>
          <w:sz w:val="24"/>
          <w:szCs w:val="24"/>
        </w:rPr>
        <w:t xml:space="preserve"> 2017. </w:t>
      </w:r>
    </w:p>
    <w:p w14:paraId="7D171D82" w14:textId="77777777" w:rsidR="0043391E" w:rsidRDefault="0043391E" w:rsidP="008C7018">
      <w:pPr>
        <w:pStyle w:val="Standard1"/>
        <w:spacing w:after="0"/>
        <w:rPr>
          <w:rFonts w:ascii="Calibri" w:hAnsi="Calibri"/>
          <w:color w:val="000000"/>
          <w:sz w:val="24"/>
          <w:szCs w:val="24"/>
        </w:rPr>
      </w:pPr>
    </w:p>
    <w:p w14:paraId="7AD3FFEE" w14:textId="77777777" w:rsidR="0043391E" w:rsidRPr="0002434A" w:rsidRDefault="00AC7FDB" w:rsidP="008C7018">
      <w:pPr>
        <w:pStyle w:val="Standard1"/>
        <w:spacing w:after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Comment </w:t>
      </w:r>
      <w:proofErr w:type="spellStart"/>
      <w:r>
        <w:rPr>
          <w:rFonts w:ascii="Calibri" w:hAnsi="Calibri"/>
          <w:b/>
          <w:color w:val="000000"/>
          <w:sz w:val="24"/>
          <w:szCs w:val="24"/>
        </w:rPr>
        <w:t>vous</w:t>
      </w:r>
      <w:proofErr w:type="spellEnd"/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00"/>
          <w:sz w:val="24"/>
          <w:szCs w:val="24"/>
        </w:rPr>
        <w:t>pouvez</w:t>
      </w:r>
      <w:proofErr w:type="spellEnd"/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color w:val="000000"/>
          <w:sz w:val="24"/>
          <w:szCs w:val="24"/>
        </w:rPr>
        <w:t>contribuer</w:t>
      </w:r>
      <w:proofErr w:type="spellEnd"/>
      <w:r w:rsidR="0043391E" w:rsidRPr="0002434A">
        <w:rPr>
          <w:rFonts w:ascii="Calibri" w:hAnsi="Calibri"/>
          <w:b/>
          <w:color w:val="000000"/>
          <w:sz w:val="24"/>
          <w:szCs w:val="24"/>
        </w:rPr>
        <w:t>:</w:t>
      </w:r>
    </w:p>
    <w:p w14:paraId="320E4978" w14:textId="2F4BA56B" w:rsidR="0043391E" w:rsidRPr="00B50A02" w:rsidRDefault="007A222D" w:rsidP="00B50A02">
      <w:pPr>
        <w:pStyle w:val="Standard1"/>
        <w:numPr>
          <w:ilvl w:val="0"/>
          <w:numId w:val="17"/>
        </w:numPr>
        <w:spacing w:after="0"/>
      </w:pPr>
      <w:r>
        <w:rPr>
          <w:rFonts w:ascii="Calibri" w:hAnsi="Calibri"/>
          <w:color w:val="000000"/>
          <w:sz w:val="24"/>
          <w:szCs w:val="24"/>
        </w:rPr>
        <w:lastRenderedPageBreak/>
        <w:t xml:space="preserve">Le Standard </w:t>
      </w:r>
      <w:proofErr w:type="spellStart"/>
      <w:r>
        <w:rPr>
          <w:rFonts w:ascii="Calibri" w:hAnsi="Calibri"/>
          <w:color w:val="000000"/>
          <w:sz w:val="24"/>
          <w:szCs w:val="24"/>
        </w:rPr>
        <w:t>actuel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peut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être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accédé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sur le site internet de SEG </w:t>
      </w:r>
      <w:proofErr w:type="spellStart"/>
      <w:r>
        <w:rPr>
          <w:rFonts w:ascii="Calibri" w:hAnsi="Calibri"/>
          <w:color w:val="000000"/>
          <w:sz w:val="24"/>
          <w:szCs w:val="24"/>
        </w:rPr>
        <w:t>en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hyperlink r:id="rId13" w:history="1">
        <w:proofErr w:type="spellStart"/>
        <w:r w:rsidRPr="007A222D">
          <w:rPr>
            <w:rStyle w:val="Hyperlink"/>
            <w:rFonts w:ascii="Calibri" w:hAnsi="Calibri"/>
            <w:sz w:val="24"/>
            <w:szCs w:val="24"/>
          </w:rPr>
          <w:t>Anglais</w:t>
        </w:r>
        <w:proofErr w:type="spellEnd"/>
      </w:hyperlink>
      <w:r>
        <w:rPr>
          <w:rFonts w:ascii="Calibri" w:hAnsi="Calibri"/>
          <w:color w:val="000000"/>
          <w:sz w:val="24"/>
          <w:szCs w:val="24"/>
        </w:rPr>
        <w:t xml:space="preserve"> et </w:t>
      </w:r>
      <w:proofErr w:type="spellStart"/>
      <w:r>
        <w:rPr>
          <w:rFonts w:ascii="Calibri" w:hAnsi="Calibri"/>
          <w:color w:val="000000"/>
          <w:sz w:val="24"/>
          <w:szCs w:val="24"/>
        </w:rPr>
        <w:t>en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hyperlink r:id="rId14" w:history="1">
        <w:proofErr w:type="spellStart"/>
        <w:r w:rsidRPr="007A222D">
          <w:rPr>
            <w:rStyle w:val="Hyperlink"/>
            <w:rFonts w:ascii="Calibri" w:hAnsi="Calibri"/>
            <w:sz w:val="24"/>
            <w:szCs w:val="24"/>
          </w:rPr>
          <w:t>Français</w:t>
        </w:r>
        <w:proofErr w:type="spellEnd"/>
      </w:hyperlink>
      <w:r>
        <w:rPr>
          <w:rFonts w:ascii="Calibri" w:hAnsi="Calibri"/>
          <w:color w:val="000000"/>
          <w:sz w:val="24"/>
          <w:szCs w:val="24"/>
        </w:rPr>
        <w:t xml:space="preserve">. </w:t>
      </w:r>
    </w:p>
    <w:p w14:paraId="69254BBF" w14:textId="1991BF45" w:rsidR="00B50A02" w:rsidRPr="00B50A02" w:rsidRDefault="007A222D" w:rsidP="00B50A02">
      <w:pPr>
        <w:pStyle w:val="Standard1"/>
        <w:numPr>
          <w:ilvl w:val="0"/>
          <w:numId w:val="17"/>
        </w:numPr>
        <w:spacing w:after="0"/>
      </w:pPr>
      <w:r>
        <w:rPr>
          <w:rFonts w:ascii="Calibri" w:hAnsi="Calibri"/>
          <w:color w:val="000000"/>
          <w:sz w:val="24"/>
          <w:szCs w:val="24"/>
        </w:rPr>
        <w:t xml:space="preserve">Pour faire un </w:t>
      </w:r>
      <w:proofErr w:type="spellStart"/>
      <w:r>
        <w:rPr>
          <w:rFonts w:ascii="Calibri" w:hAnsi="Calibri"/>
          <w:color w:val="000000"/>
          <w:sz w:val="24"/>
          <w:szCs w:val="24"/>
        </w:rPr>
        <w:t>commentaire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sur le </w:t>
      </w:r>
      <w:proofErr w:type="spellStart"/>
      <w:r>
        <w:rPr>
          <w:rFonts w:ascii="Calibri" w:hAnsi="Calibri"/>
          <w:color w:val="000000"/>
          <w:sz w:val="24"/>
          <w:szCs w:val="24"/>
        </w:rPr>
        <w:t>contenu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du Standard, </w:t>
      </w:r>
      <w:proofErr w:type="spellStart"/>
      <w:r>
        <w:rPr>
          <w:rFonts w:ascii="Calibri" w:hAnsi="Calibri"/>
          <w:color w:val="000000"/>
          <w:sz w:val="24"/>
          <w:szCs w:val="24"/>
        </w:rPr>
        <w:t>ou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sur </w:t>
      </w:r>
      <w:proofErr w:type="spellStart"/>
      <w:r>
        <w:rPr>
          <w:rFonts w:ascii="Calibri" w:hAnsi="Calibri"/>
          <w:color w:val="000000"/>
          <w:sz w:val="24"/>
          <w:szCs w:val="24"/>
        </w:rPr>
        <w:t>votre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expérience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de travail avec le Standard, </w:t>
      </w:r>
      <w:proofErr w:type="spellStart"/>
      <w:r>
        <w:rPr>
          <w:rFonts w:ascii="Calibri" w:hAnsi="Calibri"/>
          <w:color w:val="000000"/>
          <w:sz w:val="24"/>
          <w:szCs w:val="24"/>
        </w:rPr>
        <w:t>complétez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ce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hyperlink r:id="rId15" w:history="1">
        <w:r w:rsidR="00B50A02" w:rsidRPr="00391D37">
          <w:rPr>
            <w:rStyle w:val="Hyperlink"/>
            <w:rFonts w:ascii="Calibri" w:hAnsi="Calibri"/>
            <w:sz w:val="24"/>
            <w:szCs w:val="24"/>
          </w:rPr>
          <w:t>form</w:t>
        </w:r>
        <w:r w:rsidRPr="00391D37">
          <w:rPr>
            <w:rStyle w:val="Hyperlink"/>
            <w:rFonts w:ascii="Calibri" w:hAnsi="Calibri"/>
            <w:sz w:val="24"/>
            <w:szCs w:val="24"/>
          </w:rPr>
          <w:t>ulaire</w:t>
        </w:r>
      </w:hyperlink>
      <w:bookmarkStart w:id="1" w:name="_GoBack"/>
      <w:bookmarkEnd w:id="1"/>
      <w:r w:rsidR="00B50A02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et </w:t>
      </w:r>
      <w:proofErr w:type="spellStart"/>
      <w:r>
        <w:rPr>
          <w:rFonts w:ascii="Calibri" w:hAnsi="Calibri"/>
          <w:color w:val="000000"/>
          <w:sz w:val="24"/>
          <w:szCs w:val="24"/>
        </w:rPr>
        <w:t>envoyez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-le à: </w:t>
      </w:r>
      <w:hyperlink r:id="rId16" w:history="1">
        <w:r w:rsidR="00B50A02" w:rsidRPr="00B50A02">
          <w:rPr>
            <w:rFonts w:asciiTheme="minorHAnsi" w:eastAsia="Times New Roman" w:hAnsiTheme="minorHAnsi" w:cs="Arial"/>
            <w:iCs/>
            <w:color w:val="4472C4" w:themeColor="accent1"/>
            <w:sz w:val="24"/>
            <w:szCs w:val="24"/>
            <w:u w:val="single"/>
            <w:lang w:val="en-GB" w:eastAsia="en-US"/>
          </w:rPr>
          <w:t>standard@sustainableeelgroup.org</w:t>
        </w:r>
      </w:hyperlink>
      <w:r w:rsidR="00B50A0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</w:p>
    <w:p w14:paraId="56D7BF58" w14:textId="57D1CB09" w:rsidR="00B50A02" w:rsidRDefault="007A222D" w:rsidP="00B50A02">
      <w:pPr>
        <w:pStyle w:val="Standard1"/>
        <w:numPr>
          <w:ilvl w:val="0"/>
          <w:numId w:val="17"/>
        </w:numPr>
        <w:spacing w:after="0"/>
      </w:pPr>
      <w:r>
        <w:rPr>
          <w:rFonts w:ascii="Calibri" w:hAnsi="Calibri"/>
          <w:color w:val="000000"/>
          <w:sz w:val="24"/>
          <w:szCs w:val="24"/>
        </w:rPr>
        <w:t xml:space="preserve">Une première nouvelle version du Standard sera </w:t>
      </w:r>
      <w:proofErr w:type="spellStart"/>
      <w:r>
        <w:rPr>
          <w:rFonts w:ascii="Calibri" w:hAnsi="Calibri"/>
          <w:color w:val="000000"/>
          <w:sz w:val="24"/>
          <w:szCs w:val="24"/>
        </w:rPr>
        <w:t>publiée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en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avril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2017. Il y aura </w:t>
      </w:r>
      <w:proofErr w:type="spellStart"/>
      <w:r>
        <w:rPr>
          <w:rFonts w:ascii="Calibri" w:hAnsi="Calibri"/>
          <w:color w:val="000000"/>
          <w:sz w:val="24"/>
          <w:szCs w:val="24"/>
        </w:rPr>
        <w:t>ensuite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2 </w:t>
      </w:r>
      <w:proofErr w:type="spellStart"/>
      <w:r>
        <w:rPr>
          <w:rFonts w:ascii="Calibri" w:hAnsi="Calibri"/>
          <w:color w:val="000000"/>
          <w:sz w:val="24"/>
          <w:szCs w:val="24"/>
        </w:rPr>
        <w:t>mois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de consultation, </w:t>
      </w:r>
      <w:proofErr w:type="spellStart"/>
      <w:r>
        <w:rPr>
          <w:rFonts w:ascii="Calibri" w:hAnsi="Calibri"/>
          <w:color w:val="000000"/>
          <w:sz w:val="24"/>
          <w:szCs w:val="24"/>
        </w:rPr>
        <w:t>durant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laquelle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les </w:t>
      </w:r>
      <w:proofErr w:type="spellStart"/>
      <w:r>
        <w:rPr>
          <w:rFonts w:ascii="Calibri" w:hAnsi="Calibri"/>
          <w:color w:val="000000"/>
          <w:sz w:val="24"/>
          <w:szCs w:val="24"/>
        </w:rPr>
        <w:t>commentaires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sur </w:t>
      </w:r>
      <w:proofErr w:type="spellStart"/>
      <w:r>
        <w:rPr>
          <w:rFonts w:ascii="Calibri" w:hAnsi="Calibri"/>
          <w:color w:val="000000"/>
          <w:sz w:val="24"/>
          <w:szCs w:val="24"/>
        </w:rPr>
        <w:t>ce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premier </w:t>
      </w:r>
      <w:proofErr w:type="spellStart"/>
      <w:r>
        <w:rPr>
          <w:rFonts w:ascii="Calibri" w:hAnsi="Calibri"/>
          <w:color w:val="000000"/>
          <w:sz w:val="24"/>
          <w:szCs w:val="24"/>
        </w:rPr>
        <w:t>brouillon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seront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les </w:t>
      </w:r>
      <w:proofErr w:type="spellStart"/>
      <w:r>
        <w:rPr>
          <w:rFonts w:ascii="Calibri" w:hAnsi="Calibri"/>
          <w:color w:val="000000"/>
          <w:sz w:val="24"/>
          <w:szCs w:val="24"/>
        </w:rPr>
        <w:t>bienvenues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. </w:t>
      </w:r>
    </w:p>
    <w:p w14:paraId="2DD46E75" w14:textId="77777777" w:rsidR="00B50A02" w:rsidRDefault="00B50A02" w:rsidP="00B50A02">
      <w:pPr>
        <w:pStyle w:val="Standard1"/>
        <w:spacing w:after="0"/>
      </w:pPr>
    </w:p>
    <w:p w14:paraId="499E5007" w14:textId="77777777" w:rsidR="006007D8" w:rsidRDefault="006007D8" w:rsidP="00B50A02">
      <w:pPr>
        <w:pStyle w:val="Standard1"/>
        <w:spacing w:after="0"/>
        <w:rPr>
          <w:rFonts w:asciiTheme="minorHAnsi" w:hAnsiTheme="minorHAnsi"/>
          <w:b/>
          <w:sz w:val="24"/>
          <w:szCs w:val="24"/>
        </w:rPr>
      </w:pPr>
    </w:p>
    <w:p w14:paraId="5970E7FF" w14:textId="187972C6" w:rsidR="00B50A02" w:rsidRDefault="007A222D" w:rsidP="00B50A02">
      <w:pPr>
        <w:pStyle w:val="Standard1"/>
        <w:spacing w:after="0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Calendrier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pour la </w:t>
      </w:r>
      <w:proofErr w:type="spellStart"/>
      <w:r>
        <w:rPr>
          <w:rFonts w:asciiTheme="minorHAnsi" w:hAnsiTheme="minorHAnsi"/>
          <w:b/>
          <w:sz w:val="24"/>
          <w:szCs w:val="24"/>
        </w:rPr>
        <w:t>révision</w:t>
      </w:r>
      <w:proofErr w:type="spellEnd"/>
      <w:r>
        <w:rPr>
          <w:rFonts w:asciiTheme="minorHAnsi" w:hAnsiTheme="minorHAnsi"/>
          <w:b/>
          <w:sz w:val="24"/>
          <w:szCs w:val="24"/>
        </w:rPr>
        <w:t>:</w:t>
      </w:r>
    </w:p>
    <w:p w14:paraId="7F35D9F8" w14:textId="77777777" w:rsidR="007A222D" w:rsidRDefault="007A222D" w:rsidP="00B50A02">
      <w:pPr>
        <w:pStyle w:val="Standard1"/>
        <w:spacing w:after="0"/>
        <w:rPr>
          <w:rFonts w:asciiTheme="minorHAnsi" w:hAnsiTheme="minorHAnsi"/>
          <w:b/>
          <w:sz w:val="24"/>
          <w:szCs w:val="24"/>
        </w:rPr>
      </w:pPr>
    </w:p>
    <w:tbl>
      <w:tblPr>
        <w:tblStyle w:val="Tabellenraster"/>
        <w:tblW w:w="9497" w:type="dxa"/>
        <w:tblInd w:w="704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7A222D" w:rsidRPr="004B1FD1" w14:paraId="713F30E7" w14:textId="77777777" w:rsidTr="008D4378">
        <w:tc>
          <w:tcPr>
            <w:tcW w:w="1843" w:type="dxa"/>
            <w:shd w:val="clear" w:color="auto" w:fill="D9E2F3" w:themeFill="accent1" w:themeFillTint="33"/>
          </w:tcPr>
          <w:p w14:paraId="755237A6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4B1FD1">
              <w:rPr>
                <w:rFonts w:asciiTheme="minorHAnsi" w:hAnsiTheme="minorHAnsi" w:cs="Arial"/>
                <w:b/>
                <w:color w:val="000000"/>
                <w:szCs w:val="20"/>
              </w:rPr>
              <w:t>Date</w:t>
            </w:r>
          </w:p>
        </w:tc>
        <w:tc>
          <w:tcPr>
            <w:tcW w:w="7654" w:type="dxa"/>
            <w:shd w:val="clear" w:color="auto" w:fill="D9E2F3" w:themeFill="accent1" w:themeFillTint="33"/>
          </w:tcPr>
          <w:p w14:paraId="6E2DE1E0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proofErr w:type="spellStart"/>
            <w:r w:rsidRPr="004B1FD1">
              <w:rPr>
                <w:rFonts w:asciiTheme="minorHAnsi" w:hAnsiTheme="minorHAnsi" w:cs="Arial"/>
                <w:b/>
                <w:color w:val="000000"/>
                <w:szCs w:val="20"/>
              </w:rPr>
              <w:t>Activit</w:t>
            </w:r>
            <w:r>
              <w:rPr>
                <w:rFonts w:asciiTheme="minorHAnsi" w:hAnsiTheme="minorHAnsi" w:cs="Arial"/>
                <w:b/>
                <w:color w:val="000000"/>
                <w:szCs w:val="20"/>
              </w:rPr>
              <w:t>és</w:t>
            </w:r>
            <w:proofErr w:type="spellEnd"/>
            <w:r w:rsidRPr="004B1FD1">
              <w:rPr>
                <w:rFonts w:ascii="inherit" w:hAnsi="inherit"/>
                <w:b/>
                <w:i/>
                <w:iCs/>
                <w:lang w:eastAsia="en-GB"/>
              </w:rPr>
              <w:t xml:space="preserve"> </w:t>
            </w:r>
          </w:p>
        </w:tc>
      </w:tr>
      <w:tr w:rsidR="007A222D" w:rsidRPr="002D179D" w14:paraId="0A069DF6" w14:textId="77777777" w:rsidTr="008D4378">
        <w:tc>
          <w:tcPr>
            <w:tcW w:w="1843" w:type="dxa"/>
          </w:tcPr>
          <w:p w14:paraId="204408BA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Cs w:val="20"/>
              </w:rPr>
              <w:t>Janvier</w:t>
            </w:r>
            <w:proofErr w:type="spellEnd"/>
            <w:r w:rsidRPr="004B1FD1">
              <w:rPr>
                <w:rFonts w:asciiTheme="minorHAnsi" w:hAnsiTheme="minorHAnsi" w:cs="Arial"/>
                <w:color w:val="000000"/>
                <w:szCs w:val="20"/>
              </w:rPr>
              <w:t xml:space="preserve"> 2017</w:t>
            </w:r>
          </w:p>
        </w:tc>
        <w:tc>
          <w:tcPr>
            <w:tcW w:w="7654" w:type="dxa"/>
          </w:tcPr>
          <w:p w14:paraId="6D0F9651" w14:textId="77777777" w:rsidR="007A222D" w:rsidRPr="002D179D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iCs/>
                <w:lang w:eastAsia="en-GB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Publier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l'intention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du Standard et comment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toute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personne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intéressée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peut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prendre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part.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Voir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l'</w:t>
            </w:r>
            <w:hyperlink r:id="rId17" w:history="1">
              <w:r w:rsidRPr="005874B7">
                <w:rPr>
                  <w:rStyle w:val="Hyperlink"/>
                  <w:rFonts w:asciiTheme="minorHAnsi" w:hAnsiTheme="minorHAnsi"/>
                  <w:iCs/>
                  <w:lang w:eastAsia="en-GB"/>
                </w:rPr>
                <w:t>annonce</w:t>
              </w:r>
              <w:proofErr w:type="spellEnd"/>
            </w:hyperlink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publiée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le 16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janvier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2017. </w:t>
            </w:r>
          </w:p>
        </w:tc>
      </w:tr>
      <w:tr w:rsidR="007A222D" w:rsidRPr="004B1FD1" w14:paraId="3538A597" w14:textId="77777777" w:rsidTr="008D4378">
        <w:tc>
          <w:tcPr>
            <w:tcW w:w="1843" w:type="dxa"/>
          </w:tcPr>
          <w:p w14:paraId="3AE695A6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 w:rsidRPr="004B1FD1">
              <w:rPr>
                <w:rFonts w:asciiTheme="minorHAnsi" w:hAnsiTheme="minorHAnsi"/>
                <w:iCs/>
                <w:lang w:eastAsia="en-GB"/>
              </w:rPr>
              <w:t>F</w:t>
            </w:r>
            <w:r>
              <w:rPr>
                <w:rFonts w:asciiTheme="minorHAnsi" w:hAnsiTheme="minorHAnsi"/>
                <w:iCs/>
                <w:lang w:eastAsia="en-GB"/>
              </w:rPr>
              <w:t>évrier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2017 </w:t>
            </w:r>
          </w:p>
        </w:tc>
        <w:tc>
          <w:tcPr>
            <w:tcW w:w="7654" w:type="dxa"/>
          </w:tcPr>
          <w:p w14:paraId="3B07CC62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Commencer la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, inviter les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usagers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et les parties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intéressées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à commenter le Standard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existant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. </w:t>
            </w:r>
          </w:p>
        </w:tc>
      </w:tr>
      <w:tr w:rsidR="007A222D" w:rsidRPr="004B1FD1" w14:paraId="6A0585D6" w14:textId="77777777" w:rsidTr="008D4378">
        <w:tc>
          <w:tcPr>
            <w:tcW w:w="1843" w:type="dxa"/>
          </w:tcPr>
          <w:p w14:paraId="59357176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>Mars</w:t>
            </w:r>
            <w:r w:rsidRPr="004B1FD1">
              <w:rPr>
                <w:rFonts w:asciiTheme="minorHAnsi" w:hAnsiTheme="minorHAnsi"/>
                <w:iCs/>
                <w:lang w:eastAsia="en-GB"/>
              </w:rPr>
              <w:t xml:space="preserve"> </w:t>
            </w:r>
            <w:r>
              <w:rPr>
                <w:rFonts w:asciiTheme="minorHAnsi" w:hAnsiTheme="minorHAnsi"/>
                <w:iCs/>
                <w:lang w:eastAsia="en-GB"/>
              </w:rPr>
              <w:t>2017</w:t>
            </w:r>
            <w:r w:rsidRPr="004B1FD1">
              <w:rPr>
                <w:rFonts w:asciiTheme="minorHAnsi" w:hAnsiTheme="minorHAnsi"/>
                <w:iCs/>
                <w:lang w:eastAsia="en-GB"/>
              </w:rPr>
              <w:t>    </w:t>
            </w:r>
          </w:p>
        </w:tc>
        <w:tc>
          <w:tcPr>
            <w:tcW w:w="7654" w:type="dxa"/>
          </w:tcPr>
          <w:p w14:paraId="724EB360" w14:textId="77777777" w:rsidR="007A222D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iCs/>
                <w:lang w:eastAsia="en-GB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Rencontre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l'Equipe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Dirigeante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SEG pour affirmer de nouveau que les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objectifs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le Standard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concordent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avec la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Théorie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du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Changement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. </w:t>
            </w:r>
          </w:p>
          <w:p w14:paraId="50445F36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Rencontre du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Comité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réviser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le Standard et les retours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existants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. </w:t>
            </w:r>
          </w:p>
        </w:tc>
      </w:tr>
      <w:tr w:rsidR="007A222D" w:rsidRPr="004B1FD1" w14:paraId="20DB9901" w14:textId="77777777" w:rsidTr="008D4378">
        <w:tc>
          <w:tcPr>
            <w:tcW w:w="1843" w:type="dxa"/>
          </w:tcPr>
          <w:p w14:paraId="70EC602B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>Avril 2017       </w:t>
            </w:r>
          </w:p>
        </w:tc>
        <w:tc>
          <w:tcPr>
            <w:tcW w:w="7654" w:type="dxa"/>
          </w:tcPr>
          <w:p w14:paraId="3732545F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1ère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ébauche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Version 6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publiées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2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mois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consultation.</w:t>
            </w:r>
          </w:p>
        </w:tc>
      </w:tr>
      <w:tr w:rsidR="007A222D" w:rsidRPr="004B1FD1" w14:paraId="3FDDEBB5" w14:textId="77777777" w:rsidTr="008D4378">
        <w:tc>
          <w:tcPr>
            <w:tcW w:w="1843" w:type="dxa"/>
          </w:tcPr>
          <w:p w14:paraId="238982B2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Juin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2017        </w:t>
            </w:r>
          </w:p>
        </w:tc>
        <w:tc>
          <w:tcPr>
            <w:tcW w:w="7654" w:type="dxa"/>
          </w:tcPr>
          <w:p w14:paraId="6D67BD81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Rencontre du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Comité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prendre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compte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les corrections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proposés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par la consultation.</w:t>
            </w:r>
          </w:p>
        </w:tc>
      </w:tr>
      <w:tr w:rsidR="007A222D" w:rsidRPr="004B1FD1" w14:paraId="6C878C09" w14:textId="77777777" w:rsidTr="008D4378">
        <w:tc>
          <w:tcPr>
            <w:tcW w:w="1843" w:type="dxa"/>
          </w:tcPr>
          <w:p w14:paraId="3FA863AF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Juillet</w:t>
            </w:r>
            <w:proofErr w:type="spellEnd"/>
            <w:r w:rsidRPr="004B1FD1">
              <w:rPr>
                <w:rFonts w:asciiTheme="minorHAnsi" w:hAnsiTheme="minorHAnsi"/>
                <w:iCs/>
                <w:lang w:eastAsia="en-GB"/>
              </w:rPr>
              <w:t xml:space="preserve"> 2017</w:t>
            </w:r>
          </w:p>
        </w:tc>
        <w:tc>
          <w:tcPr>
            <w:tcW w:w="7654" w:type="dxa"/>
          </w:tcPr>
          <w:p w14:paraId="3A04FDC0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Publication de la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seconde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version pour 1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mois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consultation. </w:t>
            </w:r>
          </w:p>
        </w:tc>
      </w:tr>
      <w:tr w:rsidR="007A222D" w:rsidRPr="004B1FD1" w14:paraId="17B447E1" w14:textId="77777777" w:rsidTr="008D4378">
        <w:tc>
          <w:tcPr>
            <w:tcW w:w="1843" w:type="dxa"/>
          </w:tcPr>
          <w:p w14:paraId="27141495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Septembre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2017</w:t>
            </w:r>
          </w:p>
        </w:tc>
        <w:tc>
          <w:tcPr>
            <w:tcW w:w="7654" w:type="dxa"/>
          </w:tcPr>
          <w:p w14:paraId="48664D67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Rencontre du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Comité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Révision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pour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prendre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en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compte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les corrections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proposés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par la consultation. </w:t>
            </w:r>
          </w:p>
        </w:tc>
      </w:tr>
      <w:tr w:rsidR="007A222D" w:rsidRPr="004B1FD1" w14:paraId="4C379619" w14:textId="77777777" w:rsidTr="008D4378">
        <w:tc>
          <w:tcPr>
            <w:tcW w:w="1843" w:type="dxa"/>
          </w:tcPr>
          <w:p w14:paraId="7A3645F2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Octobre</w:t>
            </w:r>
            <w:proofErr w:type="spellEnd"/>
            <w:r w:rsidRPr="004B1FD1">
              <w:rPr>
                <w:rFonts w:asciiTheme="minorHAnsi" w:hAnsiTheme="minorHAnsi"/>
                <w:iCs/>
                <w:lang w:eastAsia="en-GB"/>
              </w:rPr>
              <w:t xml:space="preserve"> </w:t>
            </w:r>
            <w:r>
              <w:rPr>
                <w:rFonts w:asciiTheme="minorHAnsi" w:hAnsiTheme="minorHAnsi"/>
                <w:iCs/>
                <w:lang w:eastAsia="en-GB"/>
              </w:rPr>
              <w:t>2017    </w:t>
            </w:r>
          </w:p>
        </w:tc>
        <w:tc>
          <w:tcPr>
            <w:tcW w:w="7654" w:type="dxa"/>
          </w:tcPr>
          <w:p w14:paraId="0F26527F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Corresponda</w:t>
            </w:r>
            <w:r w:rsidRPr="004B1FD1">
              <w:rPr>
                <w:rFonts w:asciiTheme="minorHAnsi" w:hAnsiTheme="minorHAnsi"/>
                <w:iCs/>
                <w:lang w:eastAsia="en-GB"/>
              </w:rPr>
              <w:t>nce</w:t>
            </w:r>
            <w:proofErr w:type="spellEnd"/>
            <w:r w:rsidRPr="004B1FD1">
              <w:rPr>
                <w:rFonts w:asciiTheme="minorHAnsi" w:hAnsiTheme="minorHAnsi"/>
                <w:iCs/>
                <w:lang w:eastAsia="en-GB"/>
              </w:rPr>
              <w:t xml:space="preserve"> </w:t>
            </w:r>
            <w:r>
              <w:rPr>
                <w:rFonts w:asciiTheme="minorHAnsi" w:hAnsiTheme="minorHAnsi"/>
                <w:iCs/>
                <w:lang w:eastAsia="en-GB"/>
              </w:rPr>
              <w:t xml:space="preserve">avec les parties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consultée</w:t>
            </w:r>
            <w:r w:rsidRPr="004B1FD1">
              <w:rPr>
                <w:rFonts w:asciiTheme="minorHAnsi" w:hAnsiTheme="minorHAnsi"/>
                <w:iCs/>
                <w:lang w:eastAsia="en-GB"/>
              </w:rPr>
              <w:t>s</w:t>
            </w:r>
            <w:proofErr w:type="spellEnd"/>
            <w:r w:rsidRPr="004B1FD1">
              <w:rPr>
                <w:rFonts w:asciiTheme="minorHAnsi" w:hAnsiTheme="minorHAnsi"/>
                <w:iCs/>
                <w:lang w:eastAsia="en-GB"/>
              </w:rPr>
              <w:t xml:space="preserve"> </w:t>
            </w:r>
            <w:r>
              <w:rPr>
                <w:rFonts w:asciiTheme="minorHAnsi" w:hAnsiTheme="minorHAnsi"/>
                <w:iCs/>
                <w:lang w:eastAsia="en-GB"/>
              </w:rPr>
              <w:t xml:space="preserve">pour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expliquer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comment les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commentaires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ont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été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utilisés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>.</w:t>
            </w:r>
          </w:p>
        </w:tc>
      </w:tr>
      <w:tr w:rsidR="007A222D" w:rsidRPr="004B1FD1" w14:paraId="05A16C47" w14:textId="77777777" w:rsidTr="008D4378">
        <w:tc>
          <w:tcPr>
            <w:tcW w:w="1843" w:type="dxa"/>
          </w:tcPr>
          <w:p w14:paraId="0B860D42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Novembre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2017 </w:t>
            </w:r>
          </w:p>
        </w:tc>
        <w:tc>
          <w:tcPr>
            <w:tcW w:w="7654" w:type="dxa"/>
          </w:tcPr>
          <w:p w14:paraId="30B75E17" w14:textId="77777777" w:rsidR="007A222D" w:rsidRPr="004B1FD1" w:rsidRDefault="007A222D" w:rsidP="008D4378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/>
                <w:iCs/>
                <w:lang w:eastAsia="en-GB"/>
              </w:rPr>
              <w:t xml:space="preserve">Publication et </w:t>
            </w:r>
            <w:proofErr w:type="spellStart"/>
            <w:r>
              <w:rPr>
                <w:rFonts w:asciiTheme="minorHAnsi" w:hAnsiTheme="minorHAnsi"/>
                <w:iCs/>
                <w:lang w:eastAsia="en-GB"/>
              </w:rPr>
              <w:t>disponibilité</w:t>
            </w:r>
            <w:proofErr w:type="spellEnd"/>
            <w:r>
              <w:rPr>
                <w:rFonts w:asciiTheme="minorHAnsi" w:hAnsiTheme="minorHAnsi"/>
                <w:iCs/>
                <w:lang w:eastAsia="en-GB"/>
              </w:rPr>
              <w:t xml:space="preserve"> du nouveau Standard (Version 6). </w:t>
            </w:r>
          </w:p>
        </w:tc>
      </w:tr>
    </w:tbl>
    <w:p w14:paraId="59F16F7E" w14:textId="77777777" w:rsidR="00681D41" w:rsidRDefault="00681D41" w:rsidP="00681D41">
      <w:pPr>
        <w:pStyle w:val="Listenabsatz"/>
        <w:autoSpaceDE w:val="0"/>
        <w:autoSpaceDN w:val="0"/>
        <w:adjustRightInd w:val="0"/>
        <w:spacing w:after="120"/>
        <w:ind w:left="360"/>
        <w:rPr>
          <w:rFonts w:asciiTheme="minorHAnsi" w:eastAsia="STKaiti" w:hAnsiTheme="minorHAnsi" w:cs="Tahoma"/>
          <w:b/>
          <w:lang w:val="en-US" w:eastAsia="ja-JP"/>
        </w:rPr>
      </w:pPr>
    </w:p>
    <w:p w14:paraId="0634C690" w14:textId="77777777" w:rsidR="007A222D" w:rsidRDefault="007A222D" w:rsidP="00681D41">
      <w:pPr>
        <w:pStyle w:val="Listenabsatz"/>
        <w:autoSpaceDE w:val="0"/>
        <w:autoSpaceDN w:val="0"/>
        <w:adjustRightInd w:val="0"/>
        <w:spacing w:after="120"/>
        <w:ind w:left="360"/>
        <w:rPr>
          <w:rFonts w:asciiTheme="minorHAnsi" w:hAnsiTheme="minorHAnsi" w:cs="Arial"/>
          <w:b/>
          <w:color w:val="365F91"/>
          <w:szCs w:val="20"/>
        </w:rPr>
      </w:pPr>
    </w:p>
    <w:p w14:paraId="1E4F0852" w14:textId="5D66A145" w:rsidR="009B5F33" w:rsidRDefault="007A222D" w:rsidP="00B50A02">
      <w:pPr>
        <w:pStyle w:val="Standard1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</w:t>
      </w:r>
      <w:proofErr w:type="spellStart"/>
      <w:r>
        <w:rPr>
          <w:rFonts w:asciiTheme="minorHAnsi" w:hAnsiTheme="minorHAnsi"/>
          <w:sz w:val="24"/>
          <w:szCs w:val="24"/>
        </w:rPr>
        <w:t>procédure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complète</w:t>
      </w:r>
      <w:proofErr w:type="spellEnd"/>
      <w:r>
        <w:rPr>
          <w:rFonts w:asciiTheme="minorHAnsi" w:hAnsiTheme="minorHAnsi"/>
          <w:sz w:val="24"/>
          <w:szCs w:val="24"/>
        </w:rPr>
        <w:t xml:space="preserve">, qui </w:t>
      </w:r>
      <w:proofErr w:type="spellStart"/>
      <w:r>
        <w:rPr>
          <w:rFonts w:asciiTheme="minorHAnsi" w:hAnsiTheme="minorHAnsi"/>
          <w:sz w:val="24"/>
          <w:szCs w:val="24"/>
        </w:rPr>
        <w:t>décrit</w:t>
      </w:r>
      <w:proofErr w:type="spellEnd"/>
      <w:r>
        <w:rPr>
          <w:rFonts w:asciiTheme="minorHAnsi" w:hAnsiTheme="minorHAnsi"/>
          <w:sz w:val="24"/>
          <w:szCs w:val="24"/>
        </w:rPr>
        <w:t xml:space="preserve"> comment le Standard SEG sera </w:t>
      </w:r>
      <w:proofErr w:type="spellStart"/>
      <w:r>
        <w:rPr>
          <w:rFonts w:asciiTheme="minorHAnsi" w:hAnsiTheme="minorHAnsi"/>
          <w:sz w:val="24"/>
          <w:szCs w:val="24"/>
        </w:rPr>
        <w:t>révisé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peut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être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accédée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hyperlink r:id="rId18" w:history="1">
        <w:proofErr w:type="spellStart"/>
        <w:r w:rsidRPr="006F144E">
          <w:rPr>
            <w:rStyle w:val="Hyperlink"/>
            <w:rFonts w:asciiTheme="minorHAnsi" w:hAnsiTheme="minorHAnsi"/>
            <w:sz w:val="24"/>
            <w:szCs w:val="24"/>
          </w:rPr>
          <w:t>ici</w:t>
        </w:r>
        <w:proofErr w:type="spellEnd"/>
      </w:hyperlink>
      <w:r w:rsidR="006F144E">
        <w:rPr>
          <w:rFonts w:asciiTheme="minorHAnsi" w:hAnsiTheme="minorHAnsi"/>
          <w:sz w:val="24"/>
          <w:szCs w:val="24"/>
        </w:rPr>
        <w:t xml:space="preserve">. </w:t>
      </w:r>
    </w:p>
    <w:p w14:paraId="58FEF992" w14:textId="77777777" w:rsidR="00C42ECC" w:rsidRDefault="00C42ECC">
      <w:pPr>
        <w:rPr>
          <w:rFonts w:asciiTheme="minorHAnsi" w:hAnsiTheme="minorHAnsi"/>
        </w:rPr>
      </w:pPr>
    </w:p>
    <w:p w14:paraId="48B93054" w14:textId="21C51A10" w:rsidR="00CB12D9" w:rsidRPr="0043391E" w:rsidRDefault="006F144E" w:rsidP="00CB12D9">
      <w:pPr>
        <w:pStyle w:val="Standard1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Une version </w:t>
      </w:r>
      <w:proofErr w:type="spellStart"/>
      <w:r>
        <w:rPr>
          <w:rFonts w:asciiTheme="minorHAnsi" w:hAnsiTheme="minorHAnsi"/>
          <w:sz w:val="24"/>
          <w:szCs w:val="24"/>
        </w:rPr>
        <w:t>française</w:t>
      </w:r>
      <w:proofErr w:type="spellEnd"/>
      <w:r>
        <w:rPr>
          <w:rFonts w:asciiTheme="minorHAnsi" w:hAnsi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/>
          <w:sz w:val="24"/>
          <w:szCs w:val="24"/>
        </w:rPr>
        <w:t>cette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annonce</w:t>
      </w:r>
      <w:proofErr w:type="spellEnd"/>
      <w:r>
        <w:rPr>
          <w:rFonts w:asciiTheme="minorHAnsi" w:hAnsiTheme="minorHAnsi"/>
          <w:sz w:val="24"/>
          <w:szCs w:val="24"/>
        </w:rPr>
        <w:t xml:space="preserve"> sera accessible sur </w:t>
      </w:r>
      <w:proofErr w:type="spellStart"/>
      <w:r>
        <w:rPr>
          <w:rFonts w:asciiTheme="minorHAnsi" w:hAnsiTheme="minorHAnsi"/>
          <w:sz w:val="24"/>
          <w:szCs w:val="24"/>
        </w:rPr>
        <w:t>cette</w:t>
      </w:r>
      <w:proofErr w:type="spellEnd"/>
      <w:r>
        <w:rPr>
          <w:rFonts w:asciiTheme="minorHAnsi" w:hAnsiTheme="minorHAnsi"/>
          <w:sz w:val="24"/>
          <w:szCs w:val="24"/>
        </w:rPr>
        <w:t xml:space="preserve"> page</w:t>
      </w:r>
      <w:r w:rsidR="00CB12D9">
        <w:rPr>
          <w:rFonts w:asciiTheme="minorHAnsi" w:hAnsiTheme="minorHAnsi"/>
          <w:sz w:val="24"/>
          <w:szCs w:val="24"/>
        </w:rPr>
        <w:t xml:space="preserve">:  </w:t>
      </w:r>
      <w:hyperlink r:id="rId19" w:history="1">
        <w:r w:rsidR="00CB12D9" w:rsidRPr="008F4892">
          <w:rPr>
            <w:rStyle w:val="Hyperlink"/>
            <w:rFonts w:asciiTheme="minorHAnsi" w:hAnsiTheme="minorHAnsi"/>
            <w:sz w:val="24"/>
            <w:szCs w:val="24"/>
          </w:rPr>
          <w:t>http://www.sustainableeelgroup.org/seg-standard-en-francais/</w:t>
        </w:r>
      </w:hyperlink>
      <w:r w:rsidR="00CB12D9">
        <w:rPr>
          <w:rFonts w:asciiTheme="minorHAnsi" w:hAnsiTheme="minorHAnsi"/>
          <w:sz w:val="24"/>
          <w:szCs w:val="24"/>
        </w:rPr>
        <w:t xml:space="preserve"> </w:t>
      </w:r>
    </w:p>
    <w:p w14:paraId="037FDBA3" w14:textId="77777777" w:rsidR="00CB12D9" w:rsidRPr="00C42ECC" w:rsidRDefault="00CB12D9">
      <w:pPr>
        <w:rPr>
          <w:rFonts w:asciiTheme="minorHAnsi" w:hAnsiTheme="minorHAnsi"/>
        </w:rPr>
      </w:pPr>
    </w:p>
    <w:sectPr w:rsidR="00CB12D9" w:rsidRPr="00C42ECC" w:rsidSect="006007D8">
      <w:headerReference w:type="default" r:id="rId20"/>
      <w:footerReference w:type="default" r:id="rId21"/>
      <w:pgSz w:w="11906" w:h="16838"/>
      <w:pgMar w:top="567" w:right="849" w:bottom="993" w:left="993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96384" w14:textId="77777777" w:rsidR="008532C1" w:rsidRDefault="008532C1" w:rsidP="0085036B">
      <w:r>
        <w:separator/>
      </w:r>
    </w:p>
  </w:endnote>
  <w:endnote w:type="continuationSeparator" w:id="0">
    <w:p w14:paraId="265E84FF" w14:textId="77777777" w:rsidR="008532C1" w:rsidRDefault="008532C1" w:rsidP="0085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C8FD" w14:textId="77777777" w:rsidR="0085036B" w:rsidRPr="00D26447" w:rsidRDefault="00B50A02" w:rsidP="00D8720F">
    <w:pPr>
      <w:pStyle w:val="Fuzeile"/>
      <w:tabs>
        <w:tab w:val="clear" w:pos="9026"/>
        <w:tab w:val="right" w:pos="10064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SEG Standard Review 2017 Announcement</w:t>
    </w:r>
    <w:r w:rsidR="00337DB3">
      <w:rPr>
        <w:rFonts w:asciiTheme="minorHAnsi" w:hAnsiTheme="minorHAnsi"/>
        <w:sz w:val="18"/>
        <w:szCs w:val="18"/>
      </w:rPr>
      <w:t xml:space="preserve"> French</w:t>
    </w:r>
    <w:r w:rsidR="0081575B">
      <w:rPr>
        <w:rFonts w:asciiTheme="minorHAnsi" w:hAnsiTheme="minorHAnsi"/>
        <w:sz w:val="18"/>
        <w:szCs w:val="18"/>
      </w:rPr>
      <w:tab/>
    </w:r>
    <w:r w:rsidR="0081575B">
      <w:rPr>
        <w:rFonts w:asciiTheme="minorHAnsi" w:hAnsiTheme="minorHAnsi"/>
        <w:sz w:val="18"/>
        <w:szCs w:val="18"/>
      </w:rPr>
      <w:tab/>
    </w:r>
  </w:p>
  <w:p w14:paraId="4DB47544" w14:textId="77777777" w:rsidR="0085036B" w:rsidRDefault="008503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0227A" w14:textId="77777777" w:rsidR="008532C1" w:rsidRDefault="008532C1" w:rsidP="0085036B">
      <w:r>
        <w:separator/>
      </w:r>
    </w:p>
  </w:footnote>
  <w:footnote w:type="continuationSeparator" w:id="0">
    <w:p w14:paraId="3EBA77C3" w14:textId="77777777" w:rsidR="008532C1" w:rsidRDefault="008532C1" w:rsidP="0085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ED65" w14:textId="77777777" w:rsidR="0085036B" w:rsidRDefault="0085036B">
    <w:pPr>
      <w:pStyle w:val="Kopfzeile"/>
      <w:rPr>
        <w:rFonts w:asciiTheme="minorHAnsi" w:hAnsiTheme="minorHAnsi"/>
        <w:sz w:val="18"/>
        <w:szCs w:val="18"/>
      </w:rPr>
    </w:pPr>
  </w:p>
  <w:p w14:paraId="6C7A0904" w14:textId="77777777" w:rsidR="00D26447" w:rsidRPr="00D26447" w:rsidRDefault="00D26447">
    <w:pPr>
      <w:pStyle w:val="Kopfzeile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4B5"/>
    <w:multiLevelType w:val="hybridMultilevel"/>
    <w:tmpl w:val="87B4734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C131C"/>
    <w:multiLevelType w:val="multilevel"/>
    <w:tmpl w:val="93E2DC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C45C5C"/>
    <w:multiLevelType w:val="hybridMultilevel"/>
    <w:tmpl w:val="FE08101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21C30"/>
    <w:multiLevelType w:val="multilevel"/>
    <w:tmpl w:val="40DE10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E0B55"/>
    <w:multiLevelType w:val="hybridMultilevel"/>
    <w:tmpl w:val="9BCC8EFA"/>
    <w:lvl w:ilvl="0" w:tplc="81B8D768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202F2"/>
    <w:multiLevelType w:val="multilevel"/>
    <w:tmpl w:val="36A48B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D48CE"/>
    <w:multiLevelType w:val="hybridMultilevel"/>
    <w:tmpl w:val="798ED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D54F3"/>
    <w:multiLevelType w:val="multilevel"/>
    <w:tmpl w:val="7FB26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7914AE"/>
    <w:multiLevelType w:val="hybridMultilevel"/>
    <w:tmpl w:val="1264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F6D8A"/>
    <w:multiLevelType w:val="hybridMultilevel"/>
    <w:tmpl w:val="5260A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6C41F4"/>
    <w:multiLevelType w:val="hybridMultilevel"/>
    <w:tmpl w:val="D4242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CB7CE9"/>
    <w:multiLevelType w:val="multilevel"/>
    <w:tmpl w:val="8B90B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6006C0"/>
    <w:multiLevelType w:val="hybridMultilevel"/>
    <w:tmpl w:val="89981E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06867"/>
    <w:multiLevelType w:val="multilevel"/>
    <w:tmpl w:val="E626C0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73BA6ECA"/>
    <w:multiLevelType w:val="multilevel"/>
    <w:tmpl w:val="F612DA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lowerRoman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75516653"/>
    <w:multiLevelType w:val="multilevel"/>
    <w:tmpl w:val="8D16F8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7B652B2B"/>
    <w:multiLevelType w:val="hybridMultilevel"/>
    <w:tmpl w:val="76A8699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6"/>
  </w:num>
  <w:num w:numId="13">
    <w:abstractNumId w:val="0"/>
  </w:num>
  <w:num w:numId="14">
    <w:abstractNumId w:val="5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F"/>
    <w:rsid w:val="00002B35"/>
    <w:rsid w:val="0002434A"/>
    <w:rsid w:val="00053B7F"/>
    <w:rsid w:val="00090AE4"/>
    <w:rsid w:val="000E0BF9"/>
    <w:rsid w:val="000E1560"/>
    <w:rsid w:val="000E4996"/>
    <w:rsid w:val="000E540D"/>
    <w:rsid w:val="001111AC"/>
    <w:rsid w:val="00130D29"/>
    <w:rsid w:val="00147595"/>
    <w:rsid w:val="001802FA"/>
    <w:rsid w:val="001826B5"/>
    <w:rsid w:val="00201BD2"/>
    <w:rsid w:val="0024269E"/>
    <w:rsid w:val="002472A9"/>
    <w:rsid w:val="002535FF"/>
    <w:rsid w:val="002630D9"/>
    <w:rsid w:val="0026645A"/>
    <w:rsid w:val="0028129F"/>
    <w:rsid w:val="002D179D"/>
    <w:rsid w:val="00334384"/>
    <w:rsid w:val="00337DB3"/>
    <w:rsid w:val="00391D37"/>
    <w:rsid w:val="00400C5E"/>
    <w:rsid w:val="00403B2C"/>
    <w:rsid w:val="0043391E"/>
    <w:rsid w:val="0047184E"/>
    <w:rsid w:val="00471AC2"/>
    <w:rsid w:val="00477F4E"/>
    <w:rsid w:val="004B1FD1"/>
    <w:rsid w:val="004E2F56"/>
    <w:rsid w:val="005A5422"/>
    <w:rsid w:val="005D64E0"/>
    <w:rsid w:val="006007D8"/>
    <w:rsid w:val="0063553F"/>
    <w:rsid w:val="00681D41"/>
    <w:rsid w:val="00682A2E"/>
    <w:rsid w:val="006F144E"/>
    <w:rsid w:val="006F2E27"/>
    <w:rsid w:val="007419BB"/>
    <w:rsid w:val="007719DE"/>
    <w:rsid w:val="007A222D"/>
    <w:rsid w:val="007C6078"/>
    <w:rsid w:val="00802B7F"/>
    <w:rsid w:val="00807932"/>
    <w:rsid w:val="0081575B"/>
    <w:rsid w:val="00832FCF"/>
    <w:rsid w:val="0085036B"/>
    <w:rsid w:val="008532C1"/>
    <w:rsid w:val="008555B0"/>
    <w:rsid w:val="008A138E"/>
    <w:rsid w:val="008C18E3"/>
    <w:rsid w:val="008C7018"/>
    <w:rsid w:val="008E532B"/>
    <w:rsid w:val="00916BA3"/>
    <w:rsid w:val="009A07EF"/>
    <w:rsid w:val="009B115D"/>
    <w:rsid w:val="009B5F33"/>
    <w:rsid w:val="009B6B73"/>
    <w:rsid w:val="009D00BD"/>
    <w:rsid w:val="00A1113B"/>
    <w:rsid w:val="00A14A51"/>
    <w:rsid w:val="00AC058A"/>
    <w:rsid w:val="00AC7FDB"/>
    <w:rsid w:val="00B10F46"/>
    <w:rsid w:val="00B37B7A"/>
    <w:rsid w:val="00B42A40"/>
    <w:rsid w:val="00B50A02"/>
    <w:rsid w:val="00B86C85"/>
    <w:rsid w:val="00B94D96"/>
    <w:rsid w:val="00BD17DF"/>
    <w:rsid w:val="00C2533B"/>
    <w:rsid w:val="00C42ECC"/>
    <w:rsid w:val="00C538A8"/>
    <w:rsid w:val="00C91E50"/>
    <w:rsid w:val="00C95D9E"/>
    <w:rsid w:val="00CB12D9"/>
    <w:rsid w:val="00CB457A"/>
    <w:rsid w:val="00D03EA3"/>
    <w:rsid w:val="00D13AF3"/>
    <w:rsid w:val="00D26447"/>
    <w:rsid w:val="00D42119"/>
    <w:rsid w:val="00D8720F"/>
    <w:rsid w:val="00DC3F39"/>
    <w:rsid w:val="00E03747"/>
    <w:rsid w:val="00E57CD3"/>
    <w:rsid w:val="00E678A1"/>
    <w:rsid w:val="00E70BE1"/>
    <w:rsid w:val="00E73839"/>
    <w:rsid w:val="00F47B1A"/>
    <w:rsid w:val="00F673FA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FEB7"/>
  <w15:chartTrackingRefBased/>
  <w15:docId w15:val="{9C65936A-CE68-4CB1-BCF7-A86E9C0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8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8129F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812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2812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036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36B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036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3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42EC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E532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4B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8C7018"/>
    <w:pPr>
      <w:suppressAutoHyphens/>
      <w:autoSpaceDN w:val="0"/>
      <w:spacing w:line="240" w:lineRule="auto"/>
      <w:textAlignment w:val="baseline"/>
    </w:pPr>
    <w:rPr>
      <w:rFonts w:ascii="Candara" w:eastAsia="STKaiti" w:hAnsi="Candara" w:cs="Tahoma"/>
      <w:lang w:val="en-US" w:eastAsia="ja-JP"/>
    </w:rPr>
  </w:style>
  <w:style w:type="character" w:customStyle="1" w:styleId="Absatz-Standardschriftart1">
    <w:name w:val="Absatz-Standardschriftart1"/>
    <w:rsid w:val="008C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stainableeelgroup.org/wp-content/uploads/2016/09/103-SEG-Standard-V5.2-1.pdf" TargetMode="External"/><Relationship Id="rId18" Type="http://schemas.openxmlformats.org/officeDocument/2006/relationships/hyperlink" Target="http://www.sustainableeelgroup.org/seg-standard-en-francai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sealalliance.org/" TargetMode="External"/><Relationship Id="rId17" Type="http://schemas.openxmlformats.org/officeDocument/2006/relationships/hyperlink" Target="http://www.sustainableeelgroup.org/2017/01/11/seg-announces-review-of-sustainable-eel-standard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ndard@sustainableeelgrou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tainableeelgroup.org/seg-standar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stainableeelgroup.org/wp-content/uploads/2017/02/SEG-Standard-Feedback.docx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1.jpg@01D28B6D.68D52160" TargetMode="External"/><Relationship Id="rId19" Type="http://schemas.openxmlformats.org/officeDocument/2006/relationships/hyperlink" Target="http://www.sustainableeelgroup.org/seg-standard-en-franca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stainableeelgroup.org/wp-content/uploads/2017/02/112-Standard-de-Developpement-Durable-de-lAnguille-V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8998-3EAD-47FD-96D9-DD7F9331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Bunt</dc:creator>
  <cp:keywords/>
  <dc:description/>
  <cp:lastModifiedBy>Florian Stein</cp:lastModifiedBy>
  <cp:revision>3</cp:revision>
  <cp:lastPrinted>2017-02-20T07:54:00Z</cp:lastPrinted>
  <dcterms:created xsi:type="dcterms:W3CDTF">2017-02-24T05:51:00Z</dcterms:created>
  <dcterms:modified xsi:type="dcterms:W3CDTF">2017-02-24T07:03:00Z</dcterms:modified>
</cp:coreProperties>
</file>